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 </w:t>
      </w:r>
      <w:r w:rsidDel="00000000" w:rsidR="00000000" w:rsidRPr="00000000">
        <w:rPr>
          <w:sz w:val="24"/>
          <w:szCs w:val="24"/>
          <w:rtl w:val="0"/>
        </w:rPr>
        <w:t xml:space="preserve">The objective of the Staffing Group is to make recommendations to the Council to deal with employment, staffing and human resource related matters.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Terms of Reference may be reviewed at any time by the Council to ensure they remain appropriate for the requirements of Longridge Town Council.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The Group will be appointed annually each May.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The Group will elect a Chairman at its first meeting.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The Group will elect a Chairman at its first meeting.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The Group will consist of four members.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The Quorum for a meeting will be a minimum of two Council members or which, at least one must be the Chairman or Vice Chairman of the Staffing Committee.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The Group will meet as and when required with a minimum of 3 days clear notice, unless the Chair calls for an extraordinary meeting in which case, there will be no minimum notice required as long as the meeting is deemed quorate.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 A Group member will take the minutes of the meeting and provide members of a draft copy for review ahead of its next meeting.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 All correspondence should be conducted through the Clerk unless it refers to the Clerk in which case it should be conducted through the Chairman of the Group.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Rights and Powers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60" w:before="240" w:lineRule="auto"/>
        <w:rPr/>
      </w:pPr>
      <w:r w:rsidDel="00000000" w:rsidR="00000000" w:rsidRPr="00000000">
        <w:rPr>
          <w:rtl w:val="0"/>
        </w:rPr>
        <w:t xml:space="preserve">9. The group will have power to spend limited to amounts for individual budget headings approved by the Full Council</w:t>
      </w:r>
    </w:p>
    <w:p w:rsidR="00000000" w:rsidDel="00000000" w:rsidP="00000000" w:rsidRDefault="00000000" w:rsidRPr="00000000" w14:paraId="00000016">
      <w:pPr>
        <w:spacing w:after="6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10. The Group will have the power to make decisions regarding all staffing issues, with the exception of financial matters, such as salary.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Responsibilities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11. To devise and renegotiate the Clerk’s contract as needed to reflect the Council’s changing requirements and situation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12. To agree to the Clerk’s job description to reflect the Council’s changing requirements and situation.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13. To supervise and performance manage the Clerk’s work; to administer his/her leave requests; record and monitor his/her absences; handle grievance and disciplinary matters; administer appraisals and reviews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14. To set an expenses policy for the Clerk in accordance with Government guidelines – expenses and benefits.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15. To promote the continuous professional development and training of the staff in consultation with him/her by way of coaching, mentoring and specified training courses.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Other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 These terms of reference are to be reviewed annually.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